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451"/>
        <w:tblW w:w="978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4E372C" w14:paraId="36CF1F81" w14:textId="77777777" w:rsidTr="004E372C">
        <w:trPr>
          <w:trHeight w:val="27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3E5ED58" w14:textId="77777777" w:rsidR="004E372C" w:rsidRPr="004E372C" w:rsidRDefault="004E372C" w:rsidP="004E372C">
            <w:pPr>
              <w:rPr>
                <w:i/>
                <w:sz w:val="20"/>
              </w:rPr>
            </w:pPr>
            <w:r w:rsidRPr="004E372C">
              <w:rPr>
                <w:i/>
                <w:sz w:val="20"/>
              </w:rPr>
              <w:t>In te vullen door griffie</w:t>
            </w:r>
          </w:p>
        </w:tc>
      </w:tr>
      <w:tr w:rsidR="004E372C" w14:paraId="1525E6FD" w14:textId="77777777" w:rsidTr="004E372C">
        <w:trPr>
          <w:trHeight w:val="412"/>
        </w:trPr>
        <w:tc>
          <w:tcPr>
            <w:tcW w:w="3260" w:type="dxa"/>
            <w:shd w:val="clear" w:color="auto" w:fill="F2F2F2" w:themeFill="background1" w:themeFillShade="F2"/>
          </w:tcPr>
          <w:p w14:paraId="42F85A8D" w14:textId="77777777" w:rsidR="004E372C" w:rsidRPr="004E372C" w:rsidRDefault="004E372C" w:rsidP="004E372C">
            <w:pPr>
              <w:rPr>
                <w:noProof/>
                <w:sz w:val="20"/>
                <w:lang w:eastAsia="nl-NL"/>
              </w:rPr>
            </w:pPr>
            <w:r w:rsidRPr="004E372C">
              <w:rPr>
                <w:noProof/>
                <w:sz w:val="20"/>
                <w:lang w:eastAsia="nl-NL"/>
              </w:rPr>
              <w:t>Nummer amendement: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14:paraId="4CB6A006" w14:textId="77777777" w:rsidR="004E372C" w:rsidRPr="004E372C" w:rsidRDefault="004E372C" w:rsidP="004E372C">
            <w:pPr>
              <w:rPr>
                <w:noProof/>
                <w:sz w:val="20"/>
                <w:lang w:eastAsia="nl-NL"/>
              </w:rPr>
            </w:pPr>
          </w:p>
        </w:tc>
      </w:tr>
      <w:tr w:rsidR="004E372C" w14:paraId="69C6A68E" w14:textId="77777777" w:rsidTr="004E372C">
        <w:trPr>
          <w:trHeight w:val="419"/>
        </w:trPr>
        <w:tc>
          <w:tcPr>
            <w:tcW w:w="3260" w:type="dxa"/>
            <w:shd w:val="clear" w:color="auto" w:fill="F2F2F2" w:themeFill="background1" w:themeFillShade="F2"/>
          </w:tcPr>
          <w:p w14:paraId="6A1B4575" w14:textId="77777777" w:rsidR="004E372C" w:rsidRPr="004E372C" w:rsidRDefault="004E372C" w:rsidP="004E372C">
            <w:pPr>
              <w:rPr>
                <w:noProof/>
                <w:sz w:val="20"/>
                <w:lang w:eastAsia="nl-NL"/>
              </w:rPr>
            </w:pPr>
            <w:r w:rsidRPr="004E372C">
              <w:rPr>
                <w:noProof/>
                <w:sz w:val="20"/>
                <w:lang w:eastAsia="nl-NL"/>
              </w:rPr>
              <w:t>Uitslag stemming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14:paraId="334499A2" w14:textId="77777777" w:rsidR="004E372C" w:rsidRPr="004E372C" w:rsidRDefault="004E372C" w:rsidP="004E372C">
            <w:pPr>
              <w:rPr>
                <w:noProof/>
                <w:sz w:val="20"/>
                <w:lang w:eastAsia="nl-NL"/>
              </w:rPr>
            </w:pPr>
          </w:p>
        </w:tc>
      </w:tr>
      <w:tr w:rsidR="004E372C" w14:paraId="5A5EEAAA" w14:textId="77777777" w:rsidTr="004E372C">
        <w:trPr>
          <w:trHeight w:val="1542"/>
        </w:trPr>
        <w:tc>
          <w:tcPr>
            <w:tcW w:w="3260" w:type="dxa"/>
          </w:tcPr>
          <w:p w14:paraId="04F0731A" w14:textId="75ACD180" w:rsidR="004E372C" w:rsidRDefault="00BD1543" w:rsidP="004E372C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01EE02FB" wp14:editId="533DD762">
                  <wp:simplePos x="0" y="0"/>
                  <wp:positionH relativeFrom="column">
                    <wp:posOffset>213542</wp:posOffset>
                  </wp:positionH>
                  <wp:positionV relativeFrom="paragraph">
                    <wp:posOffset>147955</wp:posOffset>
                  </wp:positionV>
                  <wp:extent cx="1456055" cy="742950"/>
                  <wp:effectExtent l="0" t="0" r="0" b="0"/>
                  <wp:wrapSquare wrapText="bothSides"/>
                  <wp:docPr id="93004334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43341" name="Afbeelding 93004334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30" b="24638"/>
                          <a:stretch/>
                        </pic:blipFill>
                        <pic:spPr bwMode="auto">
                          <a:xfrm>
                            <a:off x="0" y="0"/>
                            <a:ext cx="145605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14:paraId="177C53EF" w14:textId="2552E67B" w:rsidR="004E372C" w:rsidRDefault="00A179F1" w:rsidP="004E372C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7860C1C4" wp14:editId="74CB1B7E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114935</wp:posOffset>
                  </wp:positionV>
                  <wp:extent cx="776976" cy="776976"/>
                  <wp:effectExtent l="0" t="0" r="4445" b="4445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DA Papendrech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76" cy="77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</w:tcPr>
          <w:p w14:paraId="17ACC71A" w14:textId="0D267297" w:rsidR="004E372C" w:rsidRDefault="00A179F1" w:rsidP="004E372C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 wp14:anchorId="1706CC92" wp14:editId="7F71FE83">
                  <wp:simplePos x="0" y="0"/>
                  <wp:positionH relativeFrom="column">
                    <wp:posOffset>559361</wp:posOffset>
                  </wp:positionH>
                  <wp:positionV relativeFrom="paragraph">
                    <wp:posOffset>39985</wp:posOffset>
                  </wp:positionV>
                  <wp:extent cx="681836" cy="853613"/>
                  <wp:effectExtent l="0" t="0" r="4445" b="3810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00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836" cy="853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AE96DEA" w14:textId="77777777" w:rsidR="00D359DD" w:rsidRDefault="00D359DD"/>
    <w:tbl>
      <w:tblPr>
        <w:tblStyle w:val="Tabelraster"/>
        <w:tblW w:w="9634" w:type="dxa"/>
        <w:tblBorders>
          <w:top w:val="single" w:sz="4" w:space="0" w:color="CECCCC"/>
          <w:left w:val="single" w:sz="4" w:space="0" w:color="CECCCC"/>
          <w:bottom w:val="single" w:sz="4" w:space="0" w:color="CECCCC"/>
          <w:right w:val="single" w:sz="4" w:space="0" w:color="CECCCC"/>
          <w:insideH w:val="single" w:sz="4" w:space="0" w:color="CECCCC"/>
          <w:insideV w:val="single" w:sz="4" w:space="0" w:color="CECCCC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2413B9" w14:paraId="4C768E09" w14:textId="77777777" w:rsidTr="00AB2A25">
        <w:tc>
          <w:tcPr>
            <w:tcW w:w="9634" w:type="dxa"/>
          </w:tcPr>
          <w:p w14:paraId="382A5E75" w14:textId="77777777" w:rsidR="002413B9" w:rsidRPr="002413B9" w:rsidRDefault="0084441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AMENDEMENT</w:t>
            </w:r>
          </w:p>
        </w:tc>
      </w:tr>
      <w:tr w:rsidR="002413B9" w14:paraId="101E01A9" w14:textId="77777777" w:rsidTr="00AB2A25">
        <w:tc>
          <w:tcPr>
            <w:tcW w:w="9634" w:type="dxa"/>
          </w:tcPr>
          <w:p w14:paraId="7B33DFCF" w14:textId="69CCC6AE" w:rsidR="002413B9" w:rsidRPr="00BB78FD" w:rsidRDefault="00FA024C" w:rsidP="00844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Geen coffeeshop in Papendrecht</w:t>
            </w:r>
            <w:r w:rsidR="00BD154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413B9" w14:paraId="2CB7D675" w14:textId="77777777" w:rsidTr="00AB2A25">
        <w:tc>
          <w:tcPr>
            <w:tcW w:w="9634" w:type="dxa"/>
          </w:tcPr>
          <w:p w14:paraId="6A3274CD" w14:textId="77777777" w:rsidR="002413B9" w:rsidRPr="002413B9" w:rsidRDefault="002413B9"/>
        </w:tc>
      </w:tr>
      <w:tr w:rsidR="002413B9" w14:paraId="755B34C7" w14:textId="77777777" w:rsidTr="00AB2A25">
        <w:tc>
          <w:tcPr>
            <w:tcW w:w="9634" w:type="dxa"/>
          </w:tcPr>
          <w:p w14:paraId="23AB1541" w14:textId="3BD1B59D" w:rsidR="002413B9" w:rsidRPr="002413B9" w:rsidRDefault="002413B9" w:rsidP="007D1FE7">
            <w:r w:rsidRPr="002413B9">
              <w:t xml:space="preserve">De gemeenteraad van </w:t>
            </w:r>
            <w:r w:rsidR="007D1FE7">
              <w:t>Papen</w:t>
            </w:r>
            <w:r w:rsidRPr="002413B9">
              <w:t xml:space="preserve">drecht, in vergadering bijeen op </w:t>
            </w:r>
            <w:r w:rsidR="009A491C">
              <w:t>17 april</w:t>
            </w:r>
            <w:r w:rsidR="004617CE">
              <w:t xml:space="preserve"> 2025</w:t>
            </w:r>
            <w:r w:rsidR="00D23AC6">
              <w:t>,</w:t>
            </w:r>
            <w:r w:rsidRPr="002413B9">
              <w:t xml:space="preserve"> behandelend he</w:t>
            </w:r>
            <w:r>
              <w:t>t agendapunt</w:t>
            </w:r>
            <w:r w:rsidR="00075FFE">
              <w:t xml:space="preserve"> </w:t>
            </w:r>
            <w:r w:rsidR="00C46FA6">
              <w:t>11</w:t>
            </w:r>
            <w:r w:rsidR="00FA024C">
              <w:t xml:space="preserve"> ´Vaststelling Omgevingsvisie 2.0´,</w:t>
            </w:r>
            <w:r w:rsidR="004617CE">
              <w:t xml:space="preserve"> </w:t>
            </w:r>
          </w:p>
        </w:tc>
      </w:tr>
      <w:tr w:rsidR="002413B9" w14:paraId="1A333F63" w14:textId="77777777" w:rsidTr="00AB2A25">
        <w:tc>
          <w:tcPr>
            <w:tcW w:w="9634" w:type="dxa"/>
          </w:tcPr>
          <w:p w14:paraId="4704B226" w14:textId="77777777" w:rsidR="002413B9" w:rsidRDefault="002413B9"/>
        </w:tc>
      </w:tr>
      <w:tr w:rsidR="002413B9" w14:paraId="75814235" w14:textId="77777777" w:rsidTr="00AB2A25">
        <w:tc>
          <w:tcPr>
            <w:tcW w:w="9634" w:type="dxa"/>
          </w:tcPr>
          <w:p w14:paraId="3B137BCD" w14:textId="77777777" w:rsidR="002413B9" w:rsidRDefault="0084441E" w:rsidP="00480AEE">
            <w:r>
              <w:t>Besluit</w:t>
            </w:r>
            <w:r w:rsidR="00480AEE">
              <w:t xml:space="preserve"> het volgende te wijzigen:</w:t>
            </w:r>
          </w:p>
        </w:tc>
      </w:tr>
      <w:tr w:rsidR="002413B9" w14:paraId="2009391D" w14:textId="77777777" w:rsidTr="00AB2A25">
        <w:tc>
          <w:tcPr>
            <w:tcW w:w="9634" w:type="dxa"/>
          </w:tcPr>
          <w:p w14:paraId="04EE68EB" w14:textId="523A4D9D" w:rsidR="00FA024C" w:rsidRDefault="00BD1543" w:rsidP="0084441E">
            <w:r>
              <w:t>In</w:t>
            </w:r>
            <w:r w:rsidR="00C1199D">
              <w:t xml:space="preserve"> </w:t>
            </w:r>
            <w:r w:rsidR="00FA024C">
              <w:t xml:space="preserve">de Omgevingsvisie 2.0 wordt op pagina </w:t>
            </w:r>
            <w:r w:rsidR="005520BE">
              <w:t xml:space="preserve">45 </w:t>
            </w:r>
            <w:r w:rsidR="00FA024C" w:rsidRPr="00FA024C">
              <w:t xml:space="preserve">onder het kopje </w:t>
            </w:r>
            <w:r w:rsidR="005520BE">
              <w:t>‘</w:t>
            </w:r>
            <w:r w:rsidR="00FA024C" w:rsidRPr="00FA024C">
              <w:t>Wij stellen de volgende prioriteiten</w:t>
            </w:r>
            <w:r w:rsidR="005520BE">
              <w:t>’ behorend bij de alinea ‘</w:t>
            </w:r>
            <w:r w:rsidR="005520BE" w:rsidRPr="005520BE">
              <w:t>Bedrijventerreinen en winkelcentra als werklocatie</w:t>
            </w:r>
            <w:r w:rsidR="005520BE">
              <w:t xml:space="preserve">’ </w:t>
            </w:r>
            <w:r w:rsidR="00FA024C">
              <w:t xml:space="preserve">de volgende zinsnede toegevoegd: </w:t>
            </w:r>
          </w:p>
          <w:p w14:paraId="10C7D1D6" w14:textId="77777777" w:rsidR="00FA024C" w:rsidRDefault="00FA024C" w:rsidP="0084441E"/>
          <w:p w14:paraId="0E3B9D2B" w14:textId="3C8DEB12" w:rsidR="0084441E" w:rsidRDefault="005520BE" w:rsidP="00BD1543">
            <w:r>
              <w:t>‘</w:t>
            </w:r>
            <w:r w:rsidR="00FA024C">
              <w:t xml:space="preserve">In </w:t>
            </w:r>
            <w:r>
              <w:t>heel de gemeente</w:t>
            </w:r>
            <w:r w:rsidR="00FA024C">
              <w:t xml:space="preserve"> Papendrecht staan we geen coffeeshops toe.</w:t>
            </w:r>
            <w:r>
              <w:t>’</w:t>
            </w:r>
            <w:r w:rsidR="00FA024C">
              <w:t xml:space="preserve"> </w:t>
            </w:r>
          </w:p>
        </w:tc>
      </w:tr>
      <w:tr w:rsidR="002413B9" w14:paraId="7828016D" w14:textId="77777777" w:rsidTr="00AB2A25">
        <w:tc>
          <w:tcPr>
            <w:tcW w:w="9634" w:type="dxa"/>
          </w:tcPr>
          <w:p w14:paraId="1CE0D3BF" w14:textId="77777777" w:rsidR="002413B9" w:rsidRDefault="002413B9"/>
        </w:tc>
      </w:tr>
      <w:tr w:rsidR="002413B9" w14:paraId="6F5AAB6C" w14:textId="77777777" w:rsidTr="00AB2A25">
        <w:tc>
          <w:tcPr>
            <w:tcW w:w="9634" w:type="dxa"/>
          </w:tcPr>
          <w:p w14:paraId="31CBB7E5" w14:textId="77777777" w:rsidR="002413B9" w:rsidRDefault="0084441E">
            <w:r>
              <w:t>Toelichting:</w:t>
            </w:r>
          </w:p>
        </w:tc>
      </w:tr>
      <w:tr w:rsidR="002413B9" w14:paraId="3C5A996F" w14:textId="77777777" w:rsidTr="00AB2A25">
        <w:tc>
          <w:tcPr>
            <w:tcW w:w="9634" w:type="dxa"/>
          </w:tcPr>
          <w:p w14:paraId="5D43C0A0" w14:textId="63C126A2" w:rsidR="00FA024C" w:rsidRDefault="005520BE" w:rsidP="00D159E1">
            <w:r>
              <w:t xml:space="preserve">De indieners van het amendement vinden de eventuele komst van een coffeeshop in Papendrecht onwenselijk. </w:t>
            </w:r>
            <w:r w:rsidR="00FA024C">
              <w:t>Met dit amendement</w:t>
            </w:r>
            <w:r>
              <w:t xml:space="preserve"> wordt een expliciete verbodsbepaling voor de vestiging van coffeeshops in de Omgevingsvisie 2.0 opgenomen.</w:t>
            </w:r>
          </w:p>
          <w:p w14:paraId="6D382383" w14:textId="77777777" w:rsidR="00FA024C" w:rsidRDefault="00FA024C" w:rsidP="00D159E1"/>
          <w:p w14:paraId="046F4945" w14:textId="051172BA" w:rsidR="002413B9" w:rsidRDefault="00FA024C" w:rsidP="005520BE">
            <w:r>
              <w:t xml:space="preserve">In de Omgevingsvisie is nu niets is opgenomen met betrekking tot het wel of niet toestaan van de vestiging van coffeeshops in Papendrecht. </w:t>
            </w:r>
            <w:r w:rsidR="005520BE">
              <w:t xml:space="preserve">Uit de raadsinformatiebrief van 12 augustus 2024 ter beantwoording van artikel 40-vragen </w:t>
            </w:r>
            <w:r w:rsidR="005520BE" w:rsidRPr="005520BE">
              <w:t>over drugs in Papendrecht</w:t>
            </w:r>
            <w:r w:rsidR="005520BE">
              <w:t xml:space="preserve"> blijkt dat </w:t>
            </w:r>
            <w:r>
              <w:t xml:space="preserve">voor </w:t>
            </w:r>
            <w:r w:rsidRPr="00FA024C">
              <w:t xml:space="preserve">vrijwel geheel Papendrecht </w:t>
            </w:r>
            <w:r w:rsidR="005520BE">
              <w:t xml:space="preserve">reeds </w:t>
            </w:r>
            <w:r w:rsidRPr="00FA024C">
              <w:t xml:space="preserve">een verbodsbepaling </w:t>
            </w:r>
            <w:r w:rsidR="005520BE">
              <w:t>geldt</w:t>
            </w:r>
            <w:r w:rsidRPr="00FA024C">
              <w:t xml:space="preserve"> voor coffeeshops. </w:t>
            </w:r>
            <w:r w:rsidR="0068484B">
              <w:t xml:space="preserve">Dit is opgenomen in de diverse beheersverordeningen en bestemmingsplannen. </w:t>
            </w:r>
            <w:r w:rsidRPr="00FA024C">
              <w:t xml:space="preserve">Alleen voor </w:t>
            </w:r>
            <w:r>
              <w:t xml:space="preserve">het bedrijventerrein </w:t>
            </w:r>
            <w:r w:rsidRPr="00FA024C">
              <w:t>Noordhoek</w:t>
            </w:r>
            <w:r>
              <w:t xml:space="preserve">, </w:t>
            </w:r>
            <w:r w:rsidR="005520BE">
              <w:t xml:space="preserve">het </w:t>
            </w:r>
            <w:r>
              <w:t xml:space="preserve">bestemmingsplan Bedrijventerrein </w:t>
            </w:r>
            <w:r w:rsidRPr="00FA024C">
              <w:t xml:space="preserve">Oosteind en het bestemmingsplan voor het Land van Matena </w:t>
            </w:r>
            <w:r w:rsidR="0068484B">
              <w:t>geldt nu</w:t>
            </w:r>
            <w:r>
              <w:t xml:space="preserve"> géén expliciete verbodsbepaling. Door in de Omgevingsvisie</w:t>
            </w:r>
            <w:r w:rsidR="005520BE">
              <w:t xml:space="preserve"> 2.0</w:t>
            </w:r>
            <w:r>
              <w:t xml:space="preserve"> een duidelijke uitspraak op te nemen dat </w:t>
            </w:r>
            <w:r w:rsidR="005520BE">
              <w:t>de gemeenteraad</w:t>
            </w:r>
            <w:r>
              <w:t xml:space="preserve"> in </w:t>
            </w:r>
            <w:r w:rsidR="005520BE">
              <w:t>héél</w:t>
            </w:r>
            <w:r>
              <w:t xml:space="preserve"> Papendrecht</w:t>
            </w:r>
            <w:r w:rsidR="005520BE">
              <w:t xml:space="preserve"> geen coffeeshops willen toe staan, gaat ook voor deze genoemde gebieden een expliciete verbodsbepaling gelden.</w:t>
            </w:r>
            <w:r w:rsidR="0068484B">
              <w:t xml:space="preserve"> </w:t>
            </w:r>
          </w:p>
        </w:tc>
      </w:tr>
    </w:tbl>
    <w:p w14:paraId="7ABD0818" w14:textId="77777777" w:rsidR="002413B9" w:rsidRDefault="002413B9"/>
    <w:tbl>
      <w:tblPr>
        <w:tblStyle w:val="Tabelraster"/>
        <w:tblW w:w="9634" w:type="dxa"/>
        <w:tblBorders>
          <w:top w:val="single" w:sz="4" w:space="0" w:color="CECCCC"/>
          <w:left w:val="single" w:sz="4" w:space="0" w:color="CECCCC"/>
          <w:bottom w:val="single" w:sz="4" w:space="0" w:color="CECCCC"/>
          <w:right w:val="single" w:sz="4" w:space="0" w:color="CECCCC"/>
          <w:insideH w:val="single" w:sz="4" w:space="0" w:color="CECCCC"/>
          <w:insideV w:val="single" w:sz="4" w:space="0" w:color="CECCCC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AB2A25" w14:paraId="4B00FC28" w14:textId="77777777" w:rsidTr="00AB2A25">
        <w:tc>
          <w:tcPr>
            <w:tcW w:w="9634" w:type="dxa"/>
            <w:gridSpan w:val="3"/>
          </w:tcPr>
          <w:p w14:paraId="40EC7994" w14:textId="77777777" w:rsidR="00AB2A25" w:rsidRDefault="00AB2A25" w:rsidP="0028595A">
            <w:r>
              <w:t>Ondertekening:</w:t>
            </w:r>
          </w:p>
        </w:tc>
      </w:tr>
      <w:tr w:rsidR="00BB78FD" w14:paraId="2D863267" w14:textId="77777777" w:rsidTr="00AB2A25">
        <w:tc>
          <w:tcPr>
            <w:tcW w:w="3211" w:type="dxa"/>
          </w:tcPr>
          <w:p w14:paraId="7FD658C1" w14:textId="77777777" w:rsidR="00BB78FD" w:rsidRDefault="00BB78FD" w:rsidP="0028595A"/>
          <w:p w14:paraId="5D17D63A" w14:textId="77777777" w:rsidR="00AB2A25" w:rsidRDefault="00AB2A25" w:rsidP="0028595A"/>
          <w:p w14:paraId="7682617C" w14:textId="77777777" w:rsidR="00BB78FD" w:rsidRDefault="00BB78FD" w:rsidP="0028595A"/>
        </w:tc>
        <w:tc>
          <w:tcPr>
            <w:tcW w:w="3211" w:type="dxa"/>
          </w:tcPr>
          <w:p w14:paraId="02E2B9E7" w14:textId="77777777" w:rsidR="00BB78FD" w:rsidRDefault="00BB78FD" w:rsidP="0028595A"/>
        </w:tc>
        <w:tc>
          <w:tcPr>
            <w:tcW w:w="3212" w:type="dxa"/>
          </w:tcPr>
          <w:p w14:paraId="4F027D1A" w14:textId="77777777" w:rsidR="00BB78FD" w:rsidRDefault="00BB78FD" w:rsidP="0028595A"/>
        </w:tc>
      </w:tr>
      <w:tr w:rsidR="00BB78FD" w14:paraId="3E06525C" w14:textId="77777777" w:rsidTr="00AB2A25">
        <w:tc>
          <w:tcPr>
            <w:tcW w:w="3211" w:type="dxa"/>
          </w:tcPr>
          <w:p w14:paraId="2D4A44D1" w14:textId="1A6F32D9" w:rsidR="0021211C" w:rsidRDefault="005520BE" w:rsidP="0028595A">
            <w:r>
              <w:t>Willem Goudriaan</w:t>
            </w:r>
          </w:p>
          <w:p w14:paraId="10486FBD" w14:textId="7DFDB10D" w:rsidR="00BD1543" w:rsidRDefault="00BD1543" w:rsidP="0028595A">
            <w:r>
              <w:t xml:space="preserve">SGP </w:t>
            </w:r>
          </w:p>
        </w:tc>
        <w:tc>
          <w:tcPr>
            <w:tcW w:w="3211" w:type="dxa"/>
          </w:tcPr>
          <w:p w14:paraId="273BFD1E" w14:textId="77777777" w:rsidR="00BB78FD" w:rsidRDefault="00A179F1" w:rsidP="0028595A">
            <w:r>
              <w:t>Leon van den Dool</w:t>
            </w:r>
          </w:p>
          <w:p w14:paraId="45F362BA" w14:textId="0301FAC3" w:rsidR="00A179F1" w:rsidRDefault="00A179F1" w:rsidP="0028595A">
            <w:r>
              <w:t xml:space="preserve">CDA </w:t>
            </w:r>
          </w:p>
        </w:tc>
        <w:tc>
          <w:tcPr>
            <w:tcW w:w="3212" w:type="dxa"/>
          </w:tcPr>
          <w:p w14:paraId="1D05409A" w14:textId="77B5D250" w:rsidR="00BB78FD" w:rsidRDefault="00A179F1" w:rsidP="0028595A">
            <w:r>
              <w:t>Margré van Wijngaarden</w:t>
            </w:r>
          </w:p>
          <w:p w14:paraId="251F54D6" w14:textId="346908F4" w:rsidR="00A179F1" w:rsidRDefault="00A179F1" w:rsidP="0028595A">
            <w:r>
              <w:t>PAB</w:t>
            </w:r>
          </w:p>
        </w:tc>
      </w:tr>
    </w:tbl>
    <w:p w14:paraId="2769EA97" w14:textId="77777777" w:rsidR="002413B9" w:rsidRDefault="002413B9"/>
    <w:p w14:paraId="23809B29" w14:textId="77777777" w:rsidR="002413B9" w:rsidRPr="002413B9" w:rsidRDefault="002413B9"/>
    <w:sectPr w:rsidR="002413B9" w:rsidRPr="002413B9" w:rsidSect="008D5D7A">
      <w:pgSz w:w="11906" w:h="16838"/>
      <w:pgMar w:top="568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4576"/>
    <w:multiLevelType w:val="hybridMultilevel"/>
    <w:tmpl w:val="0E2E3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53125"/>
    <w:multiLevelType w:val="hybridMultilevel"/>
    <w:tmpl w:val="1F1A8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65491"/>
    <w:multiLevelType w:val="hybridMultilevel"/>
    <w:tmpl w:val="2B2CB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5881">
    <w:abstractNumId w:val="2"/>
  </w:num>
  <w:num w:numId="2" w16cid:durableId="1230798839">
    <w:abstractNumId w:val="1"/>
  </w:num>
  <w:num w:numId="3" w16cid:durableId="138074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B9"/>
    <w:rsid w:val="0002537E"/>
    <w:rsid w:val="00075FFE"/>
    <w:rsid w:val="001A7836"/>
    <w:rsid w:val="001C624D"/>
    <w:rsid w:val="001D00B3"/>
    <w:rsid w:val="0021211C"/>
    <w:rsid w:val="002413B9"/>
    <w:rsid w:val="002A2F86"/>
    <w:rsid w:val="002F22D4"/>
    <w:rsid w:val="00397FA5"/>
    <w:rsid w:val="003E19BD"/>
    <w:rsid w:val="003E3439"/>
    <w:rsid w:val="004132F2"/>
    <w:rsid w:val="004617CE"/>
    <w:rsid w:val="00480AEE"/>
    <w:rsid w:val="004E372C"/>
    <w:rsid w:val="005520BE"/>
    <w:rsid w:val="005F3974"/>
    <w:rsid w:val="0068484B"/>
    <w:rsid w:val="00721322"/>
    <w:rsid w:val="007225EA"/>
    <w:rsid w:val="00741F19"/>
    <w:rsid w:val="00744333"/>
    <w:rsid w:val="007810D9"/>
    <w:rsid w:val="007A2A10"/>
    <w:rsid w:val="007D1FE7"/>
    <w:rsid w:val="00826CE7"/>
    <w:rsid w:val="0084441E"/>
    <w:rsid w:val="008D5D7A"/>
    <w:rsid w:val="0093782B"/>
    <w:rsid w:val="009A491C"/>
    <w:rsid w:val="009B5248"/>
    <w:rsid w:val="009D2B90"/>
    <w:rsid w:val="009F60BC"/>
    <w:rsid w:val="00A179F1"/>
    <w:rsid w:val="00A960F2"/>
    <w:rsid w:val="00AB2A25"/>
    <w:rsid w:val="00AC28F9"/>
    <w:rsid w:val="00AD058E"/>
    <w:rsid w:val="00B42E8C"/>
    <w:rsid w:val="00B62FA0"/>
    <w:rsid w:val="00B91688"/>
    <w:rsid w:val="00B9355B"/>
    <w:rsid w:val="00BB3B24"/>
    <w:rsid w:val="00BB78FD"/>
    <w:rsid w:val="00BD1543"/>
    <w:rsid w:val="00BD68AB"/>
    <w:rsid w:val="00BE0EA6"/>
    <w:rsid w:val="00BE48EA"/>
    <w:rsid w:val="00BE5BFF"/>
    <w:rsid w:val="00C100F4"/>
    <w:rsid w:val="00C1199D"/>
    <w:rsid w:val="00C17EA9"/>
    <w:rsid w:val="00C21C83"/>
    <w:rsid w:val="00C46FA6"/>
    <w:rsid w:val="00CF6EED"/>
    <w:rsid w:val="00D159E1"/>
    <w:rsid w:val="00D23AC6"/>
    <w:rsid w:val="00D359DD"/>
    <w:rsid w:val="00D432F8"/>
    <w:rsid w:val="00D66E85"/>
    <w:rsid w:val="00D94C86"/>
    <w:rsid w:val="00DA5772"/>
    <w:rsid w:val="00DB666A"/>
    <w:rsid w:val="00E0212E"/>
    <w:rsid w:val="00EB371C"/>
    <w:rsid w:val="00FA024C"/>
    <w:rsid w:val="00FE654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6089"/>
  <w15:chartTrackingRefBased/>
  <w15:docId w15:val="{7CBDBD75-DF8B-4EC7-BAB5-D337612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4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4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Drechtsteden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den Boer</dc:creator>
  <cp:keywords/>
  <dc:description/>
  <cp:lastModifiedBy>Ardjan Boersma</cp:lastModifiedBy>
  <cp:revision>9</cp:revision>
  <dcterms:created xsi:type="dcterms:W3CDTF">2025-01-25T13:24:00Z</dcterms:created>
  <dcterms:modified xsi:type="dcterms:W3CDTF">2025-04-10T20:22:00Z</dcterms:modified>
</cp:coreProperties>
</file>